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B4" w:rsidRPr="00B552B4" w:rsidRDefault="00B552B4" w:rsidP="00B552B4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61617"/>
          <w:sz w:val="32"/>
          <w:szCs w:val="32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color w:val="161617"/>
          <w:sz w:val="32"/>
          <w:szCs w:val="32"/>
          <w:lang w:eastAsia="ru-RU"/>
        </w:rPr>
        <w:t>Возрастные особенности подростков14-17 лет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Психология подростка – это термин, трактующийся неоднозначно. Поскольку с одной стороны он подразумевает науку, изучающую особенности поведенческих паттернов детей, вступивших на пубертатный этап формирования. С другой – означает непосредственно суть рассматриваемого понятия – возрастную специфику поведения, особенности психических процессов.</w:t>
      </w:r>
    </w:p>
    <w:p w:rsidR="00B552B4" w:rsidRPr="00B552B4" w:rsidRDefault="00B552B4" w:rsidP="00B55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Подростковая психология считается самым противоречивым феноменом, характеризующимся непостоянством и появлением ноток бунтарства. Подростковый этап знаменуется выходом крохи из детства. Здесь вчерашний малыш начинает заглядывать в собственный внутренний мир, постигает новое о своей личности. На описываемом этапе формируется критическое мышление на фоне бунтарства и отрицания привычных поведенческих </w:t>
      </w:r>
      <w:hyperlink r:id="rId5" w:tgtFrame="_blank" w:history="1">
        <w:r w:rsidRPr="00B552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паттернов</w:t>
        </w:r>
      </w:hyperlink>
      <w:r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</w:t>
      </w:r>
      <w:r w:rsidRPr="00B552B4">
        <w:rPr>
          <w:rFonts w:ascii="Times New Roman" w:eastAsia="Times New Roman" w:hAnsi="Times New Roman" w:cs="Times New Roman"/>
          <w:b/>
          <w:color w:val="161617"/>
          <w:sz w:val="24"/>
          <w:szCs w:val="24"/>
          <w:lang w:eastAsia="ru-RU"/>
        </w:rPr>
        <w:t>(</w:t>
      </w:r>
      <w:r w:rsidRPr="00B552B4">
        <w:rPr>
          <w:rFonts w:ascii="Times New Roman" w:hAnsi="Times New Roman" w:cs="Times New Roman"/>
          <w:b/>
          <w:color w:val="161617"/>
          <w:sz w:val="24"/>
          <w:szCs w:val="24"/>
          <w:shd w:val="clear" w:color="auto" w:fill="FFFFFF"/>
        </w:rPr>
        <w:t>Паттерн – это термин, обозначающий некий повторяющийся шаблон, также им можно назвать образец, модель, схему или образ)</w:t>
      </w:r>
      <w:r w:rsidRPr="00B552B4">
        <w:rPr>
          <w:rFonts w:ascii="Times New Roman" w:eastAsia="Times New Roman" w:hAnsi="Times New Roman" w:cs="Times New Roman"/>
          <w:b/>
          <w:color w:val="161617"/>
          <w:sz w:val="24"/>
          <w:szCs w:val="24"/>
          <w:lang w:eastAsia="ru-RU"/>
        </w:rPr>
        <w:t>.</w:t>
      </w:r>
    </w:p>
    <w:p w:rsidR="00B552B4" w:rsidRPr="00B552B4" w:rsidRDefault="00B552B4" w:rsidP="00B552B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Особенности подросткового развития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Пубертатный период наиболее трудный из всех этапов детского развития. Рассматриваемый этап ещё именуют переходным, поскольку происходит так называемое «превращение» ребёнка во взрослую личность, переход от детскости к зрелости. Такая трансформация затрагивает все стороны бытия подростка, его анатомо-физиологическое формирование, интеллектуальное и морально-нравственное созревание, а также все подвиды деятельности, а именно: игровую, учебную и трудовую.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На этапе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пубертата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существенно меняются обстоятельства бытия ребенка и его деятельности, что ведёт к необходимости преобразования психических процессов, ломке старых, ранее устоявшихся форм взаимодействия с однолетками и взрослыми лицами. Учебная деятельность осложняется повышенными требованиями, увеличением нагрузки, появлением новых наук, которые необходимо систематически штудировать. Всё это требует от психических процессов более глубокого уровня: основательных обобщений и аргументированных доказательств, понимания абстрактных связей между объектами, выработку отвлечённых понятий.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Помимо того у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тинейджера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значительно трансформируются его принципы, мировоззрение, общественная позиция, положение среди одноклассников. Ребёнок начинает играть более значимую роль в школьной среде, семье. В этой связи ему начинает предъявляться больше требований социумом и родителями, которые по содержанию становятся более серьезными и основательными.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 процессе усложнённой учебной деятельности заметно совершенствуется интеллект подростков. Содержание постигаемых в школе наук, модификация характера и содержания учебной деятельности вырабатывают у них способность самостоятельно мыслить, обобщать, рассуждать, анализировать, сопоставлять и резюмировать.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Помимо того описываемый этап в созревании детской личности знаменуется также и половым созреванием, что серьёзно осложняет прохождение рассматриваемого этапа развития.</w:t>
      </w:r>
    </w:p>
    <w:p w:rsidR="00B552B4" w:rsidRPr="00B552B4" w:rsidRDefault="00B552B4" w:rsidP="00B552B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13 лет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Считается, что в среднем именно в тринадцатилетнем возрасте подростки начинают напоминать картину глубоких контрастов. У них существует лишь белые и чёрные тона в суждениях и отношении к бытию, что обнаруживается в подростковом максимализме и духе бунтарства.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Физические особенности у уже не малышей, но и ещё далеко не взрослых индивидов, характеризуются большей развитостью юных барышень в сравнении с их младыми кавалерами. </w:t>
      </w: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lastRenderedPageBreak/>
        <w:t>Особенно это выражено в росте, поскольку у девушек замедляется формирование мышечного корсета на фоне интенсивного роста костного скелета.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Считается, что в среднем юноши отстают в формировании от девушек на два года. Однако не зависимо от половой принадлежности, все взрослеющие дети делаются более мнительными, начинают уделять внимание собственной внешности, у большинства отмечается рост аппетита.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Психология подростков 13 лет претерпевает резкие трансформации, поскольку знаменуется гормональной перестройкой. Помимо того вчерашние дети начинают отождествлять себя с взрослыми индивидами, имеющими собственные желания, мысли и позицию.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К особенностям эмоционального характера следует отнести: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повышенную эмоциональность девочек;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вспыльчивость;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неуверенность, которую дети всем силами стараются научиться преодолевать;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– эмоциональный всплеск (подростки переживают более яркий спектр эмоций, они </w:t>
      </w:r>
      <w:proofErr w:type="gram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чаще</w:t>
      </w:r>
      <w:proofErr w:type="gram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нежели взрослые ощущают себя счастливыми либо безмерно несчастными);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существование одновременно противоположных эмоций (подростки могут одновременно ненавидеть кого-то и любить);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появляется увлечённость чем-то новым.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Среди особенностей социальной направленности выделяют: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стремление к независимости от родительской опеки;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появляется ценность дружбы;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возникает негативизм и требовательность в отношении учителей, окружающих взрослых лиц и родителей;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могут появляться кумиры (дети нередко влюбляются в кино-, поп-звезд).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Интеллектуальное развитие имеет следующие специфики: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детям ближе делаются воззрения идеалистов;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им требуется доказательное подтверждение любых мнений, высказанных родителями либо иными взрослыми, в противном случае подростки отвергают их без всяких сожалений;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отрицают общепринятые взгляды (они скорее примут разительно отличающееся воззрение);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интенсивно проявляется умение мыслить логически;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логика формируется наряду с развитием абстрактного мышления, поэтому зачастую взрослые лица видят противоречия в рассуждениях подростков;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здесь вчерашние дети уже начинают принимать самостоятельные решения, опираясь исключительно на индивидуальную систему ценностей.</w:t>
      </w:r>
    </w:p>
    <w:p w:rsidR="00B552B4" w:rsidRPr="00B552B4" w:rsidRDefault="00B552B4" w:rsidP="00B552B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14 лет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Значимость рассматриваемого этапа формирования ребёнка объясняется закладкой в данный период основ моральных, этических принципов и социальных установок.</w:t>
      </w:r>
    </w:p>
    <w:p w:rsidR="00B552B4" w:rsidRPr="00B552B4" w:rsidRDefault="00B552B4" w:rsidP="00B55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Здесь наблюдаются многочисленные сдвиги, носящие характер ломки ранее привитых: интересов, особенностей, взаимоотношений. </w:t>
      </w:r>
      <w:proofErr w:type="gram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Трансформации, знаменующие рассматриваемый этап, сопутствуются субъективными проблемами подростка (душевные переживания, внутренняя сумятица, трудности физиологического характера) и</w:t>
      </w: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br/>
        <w:t>осложнениями для педагогов и родителей взрослеющего чада (упрямство, грубость, агрессивность, негативизм, раздражительность).</w:t>
      </w:r>
      <w:proofErr w:type="gramEnd"/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Психологи описываемый возраст именуют временем пяти «нет», поскольку подростки: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не желают учиться, как позволяют их способности;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не желают слушать советов;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не делают бытовые дела;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за собой не убирают;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вовремя не приходят.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На рассматриваемом этапе также отмечаются следующие биологические сдвиги: увеличение роста, эндокринные изменения, преобразование моторного аппарата, несоответствие роста миокарда и капилляров (миокард растёт быстрее, нежели кровеносная система, что порой может порождать дисфункции </w:t>
      </w:r>
      <w:proofErr w:type="gram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сердечно-сосудистого</w:t>
      </w:r>
      <w:proofErr w:type="gram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аппарата).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Следствием биологических трансформаций является: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формирование полового влечения;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резкие перемены состояний, настроения и реакций (неуравновешенность, возбуждённость, периодическая апатия, вялость, слабость);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неуклюжесть, угловатость, суетливость, яркое и непринуждённое проявление эмоций.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Главной потребностью данного возрастного этапа считается потребность в коммуникативном взаимодействии с товарищами. Общение для них является своеобразным средством познания собственной личности через других, самоутверждения личности, нахождения себя.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 связи с превалированием общения резко падает успеваемость, поскольку снижается мотивация к учебной деятельности. Юноши менее общительны, нежели девочки, которые тянутся к старшим мальчикам.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Психология подростка 14 лет осложняется ещё и возрастанием влияния эмоциональной сферы на разнообразные виды деятельности. Собственное отношение к педагогам, взрослым, сверстникам, учебной деятельности подросток выстраивает на основе эмоций. Разум здесь отходит на задний план.</w:t>
      </w:r>
    </w:p>
    <w:p w:rsidR="00B552B4" w:rsidRDefault="00B552B4" w:rsidP="00B552B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B4" w:rsidRDefault="00B552B4" w:rsidP="00B552B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B4" w:rsidRPr="00B552B4" w:rsidRDefault="00B552B4" w:rsidP="00B552B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15 лет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На описываемом этапе зарождается так называемое раздвоение в чувственном поле и сознании. Наблюдается противовес гормонального всплеска, полового влечения, охватывающего разум и тело, и внезапного появления интереса к сотоварищам противоположного пола. Происходит интенсивное «взросление» сознания, что порождает новое мировоззрение.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Психология подростка 15 лет отмечается изменениями в когнитивной сфере. Наиболее разительные перемены проистекают в интеллектуальной деятельности. На рассматриваемом этапе происходит развитие навыков логической мыслительной деятельности, затем теоретического мышления, формируется логическая память. Также активно созревают и творческие способности вчерашнего </w:t>
      </w:r>
      <w:proofErr w:type="gram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ребёнка</w:t>
      </w:r>
      <w:proofErr w:type="gram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и вырабатывается индивидуальная манера деятельности, находящая своё отображение в стиле мыслительной деятельности.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Описываемый период знаменуется вторичной социализацией, что предполагает большее задействование когнитивных механизмов. Здесь формируется мировоззрение, вырабатывается ценностная база, представление о собственном предназначении, смысле бытия.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Вчерашние дети включаются в совершенно новую структуру отношений. Изменяется также их фактическое положение среди ровесников и в семье. У подростков существенно расширяется поле деятельности, серьезно усложняются её вариации. У них появляется собственная позиция. Подростки начинают считать себя взрослыми. Появляется желание, чтобы педагоги, родители и иное взрослое окружение воспринимало их в качестве равных. При этом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тинейджеры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не задумываются, что требуют больше прав, нежели в состоянии взять на себя обязанностей.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Здесь главными новообразованиями периода считаются появление сознательной регуляции собственных поступков, умения учитывать интересы, чувства окружающих и ориентироваться в своём поведенческом реагировании на них.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Психология подростка 15 лет такова, что здесь определяющим в развитии становится именно характер системы взаимоотношений, сложившейся с окружающим социумом.</w:t>
      </w:r>
    </w:p>
    <w:p w:rsidR="00B552B4" w:rsidRPr="00B552B4" w:rsidRDefault="00B552B4" w:rsidP="00B552B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16 лет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Шестнадцатилетний подросток является для родителей наиболее трудным испытанием. Именно этот период и обозначил понятие «трудный» применительно в целом к подросткам.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При этом, как полагает множество психологов, сложность рассматриваемого этапа обусловлена, как правило, трудностью «вписывания» самого подростка в среду.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Шестнадцатилетним ребятам довольно трудно примериться с качественно новым собой – ведь они уже перестали быть детьми, но взрослыми ещё не стали.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Ниже приведены характерные особенности, знаменующие рассматриваемый этап: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у подростков на сознательном уровне активно вырабатывается мировоззрение, на фоне полной зрелости «концепции самости», вследствие чего оценивание окружающими 16-летних мало интересуют;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формируются профессиональные интересы, обнаруживаются навыки управления окружающими нередко граничащие с откровенными провокациями;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растёт потребность в сплочённой группе индивидов, которую объединяют общие интересы, именно этому возрасту присущи случаи массовых акций протестов;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lastRenderedPageBreak/>
        <w:t>– резко понижается авторитет родителей, причём зачастую причина не кроется во взрослых, она обусловлена процессами, происходящими с шестнадцатилетними детьми;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происходит формирование привлекательности и индивидуальных позиций, выказывающих отношение к этой проблематике;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на данном этапе созревания подростки делаются более эмоционально уравновешенными, а действия их становятся более последовательными и практически лишёнными импульсивности;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–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шестнадцатилетки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начинают стремиться к серьёзным взаимоотношениям, как в дружбе, так и в романтической связи;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личностные взаимоотношения здесь выходят на передний план, возрастает интимность этих отношений;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подростки начинают стремиться к самостоятельным заработкам.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негативизм снижается.</w:t>
      </w:r>
    </w:p>
    <w:p w:rsidR="00B552B4" w:rsidRPr="00B552B4" w:rsidRDefault="00B552B4" w:rsidP="00B552B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17 лет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Рассматриваемый этап знаменуется формированием ценностно-смысловой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саморегуляции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поведенческого реагирования. Когда индивид научится трактовать и соответственно регулировать собственные поступки, потребность разъяснить своё поведение поневоле ведёт к подчинению собственных деяний законодательным нормам. У подростков возникает так называемое философское «отравление» сознания. Они окунуты в сомнения, бесконечные раздумья, препятствующие инициативной деятельной позиции.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Семнадцатилетние индивиды уже считаются социумом взрослыми, что давит на ещё не повзрослевшего ребёнка. Наступает поворотный момент, когда школа осталась позади, а социум и родители требуют от детей принятия решения на счёт дальнейших действий – либо они продолжают учиться, либо находят работу. Отсюда у подростков зарождается опасение не осилить возникшую нагрузку, страх перед открывшимися возможностями и вероятными неудачами.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Стержневой деятельностью семнадцатилетнего возраста становится социальное взаимодействие. Девушки все больше внимания посвящают собственной внешности. Порой надуманные недостатки ведут к их скованности и нежеланию появляться в социуме.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 рассматриваемом периоде завершается формирование черепа. Также на данной стадии созревания заканчивается формирование женского организма. Все главные размерные признаки туловища практически доходят до окончательной величины. У девушек завершается окостенение трубчатых (длинных) костей.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Юность считается началом взрослой жизни. Поэтому ощущение, что впереди ещё очень много времени, предоставляет широкую платформу для экспериментов, проб, ошибок и поиска себя. На данном этапе уже сформированы в основном все функции психики. Началась стадия стабилизации личности. Анализируемый этап знаменуется кризисом семнадцатилетнего возраста.</w:t>
      </w:r>
    </w:p>
    <w:p w:rsidR="00B552B4" w:rsidRPr="00B552B4" w:rsidRDefault="00B552B4" w:rsidP="00B552B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Психология мальчиков подростков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Подростковый период у сынов Адама заключается в трансформации мальчиков во взрослых мужей. На данной стадии происходит биологическое созревание, которое совпадает с зарождением новых интересов, разочарованием в былых увлечениях.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lastRenderedPageBreak/>
        <w:t>Юные подростки расстаются с детством, понимание того, что дальше будет с ними, отсутствует, поэтому они ощущают дискомфорт.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 пубертатном периоде отмечается активный рост мальчиков: меняется гормональный фон, «ломается» голос, растёт скелет.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Именно данный этап проявляется предельной нетерпимостью юношей, нежеланием оказать помощь тому, кто отличается. Мальчикам подросткам становится важной их внешность, поэтому если существуют проблемы с внешним обликом, то будет беда. Поскольку обязательно найдутся мальчишки, готовые обсмеять, а другие – готовые поддержать их в этом веселье.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Такие подростковые проблемы нередки. Они являются немаловажной психологической основой рассматриваемого периода. Вследствие скоростной гормональной перестройки у подростков нередко появляются прыщи, увеличивается вес. Мальчишки мучаются неконтролируемой эрекцией.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Помимо физических трансформаций, половых и гормональных метаморфоз, с ребёнком происходят и иные изменения. Видоизменяются его взгляды на бытие, начинают волновать вопросы, ранее совсем не интересовавшие. Опасность рассматриваемого этапа заключается в преувеличении собственных способностей, поскольку вчерашним детям всё кажется более радужным, доступным и простым.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Данный возраст характеризуется возникновением «разрыва» между здравым смыслом и эмоциями. Недоразвитие префронтальной зоны в пубертатном периоде объясняет возникновение основных проблем в поведенческом реагировании. Поэтому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тинейджеры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зачастую </w:t>
      </w:r>
      <w:proofErr w:type="gram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неспособны</w:t>
      </w:r>
      <w:proofErr w:type="gram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верно проанализировать ситуацию только в связи с незрелостью нервных процессов.</w:t>
      </w:r>
    </w:p>
    <w:p w:rsidR="00B552B4" w:rsidRPr="00B552B4" w:rsidRDefault="00B552B4" w:rsidP="00B552B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Психология девочек подростков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В периоде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пубертата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происходит интенсивный рост организма и гормональная перестройка. Поэтому многие девушки начинают прибавлять в весе, тело округляется, становясь более женственным.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Поскольку организм быстро адаптироваться к происходящим метаморфозам не успевает, ему приходится трудиться на износ. Отсюда у девочек наблюдается повышенная усталость, сонливость и апатия. Также могут обостриться недуги хронического течения или появиться новые.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Состояние кожи может ухудшаться из-за роста продукции эстрогена и прогестерона, что также негативно воздействует на эмоциональный настрой ребёнка. Также данный этап знаменуется появлением первых менструаций, которым нередко сопутствуют болезненные ощущения и слабость.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Все проистекающие в организме процессы, неизбежно отражаются и на детской нервной системе. Помимо того надуманные недостатки такие как: лишний вес, проблемная кожа, появление запаха пота, негативно влияют на самооценку девочки-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тинейджера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. Это благодатная почва для зарождения различных комплексов у девочки подростка.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Вследствие увеличенной продукции половых гормонов эмоциональный фон девочек нестабилен, его различные формы могут сменяться ежесекундно – от апатии до радостного беспричинного возбуждения, от плаксивости до явной агрессии.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Девочки-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тинейджеры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часто </w:t>
      </w:r>
      <w:proofErr w:type="gram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подвержены</w:t>
      </w:r>
      <w:proofErr w:type="gram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 унынию. Они убеждены, что у них всё плохо. Девушки часто склонны к плаксивости. Нередко они ощущают ненависть и раздражение в отношении наиболее близких лиц.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lastRenderedPageBreak/>
        <w:t>У них ухудшается память, снижается концентрация, нарушается способность выражать свои мысли.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Девушки, находящиеся на описываемом этапе взросления, зачастую собственными действиями и словами напоминают трехлетних малышей. Часто от них можно услышать: «я сама», «не лезьте ко мне», «отстаньте от меня».</w:t>
      </w:r>
    </w:p>
    <w:p w:rsidR="00B552B4" w:rsidRPr="00B552B4" w:rsidRDefault="00B552B4" w:rsidP="00B552B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Проблемы подросткового возраста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Усложнение реальных тенденций социального продвижения, убыстрение ритма существования, предпочтение гедонистического образа бытия оказывают воздействие на формирование современных подростков. Сложившиеся обстоятельства вызывают пассивность у детей, агрессию, депрессивные настрои, нравственное безразличие и создаёт преграды на пути идентификации собственных моральных ценностей и постижения смысла собственного существования.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Именно поэтому психология современных подростков в сравнении с психологией ранних периодов формирования характеризуется специфичностью. Ведь динамичность бытия и его отношение к удовольствию как к наивысшей ценности отражается в сердцах и сознании новых поколений.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К основным проблемам подросткового периода следует отнести: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гневливость детей (при этом проблема заключается не в самом наличии этого чувства, а в неумении им управлять), проявляемая в пассивно-агрессивных поведенческих реакциях, дабы вывести взрослое окружение либо родителей из равновесия, и характеризуется неосознанностью, являясь результатом замалчиваемого гнева;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эмоциональная неустойчивость;</w:t>
      </w:r>
    </w:p>
    <w:p w:rsidR="00B552B4" w:rsidRPr="00B552B4" w:rsidRDefault="00B552B4" w:rsidP="00B55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суицидальные наклонности, которые порождает заниженная </w:t>
      </w:r>
      <w:hyperlink r:id="rId6" w:tgtFrame="_blank" w:history="1">
        <w:r w:rsidRPr="00B552B4">
          <w:rPr>
            <w:rFonts w:ascii="Times New Roman" w:eastAsia="Times New Roman" w:hAnsi="Times New Roman" w:cs="Times New Roman"/>
            <w:color w:val="4687BF"/>
            <w:sz w:val="24"/>
            <w:szCs w:val="24"/>
            <w:u w:val="single"/>
            <w:lang w:eastAsia="ru-RU"/>
          </w:rPr>
          <w:t>самооценка</w:t>
        </w:r>
      </w:hyperlink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, родительское равнодушие, чувство одиночества, депрессивные настрои;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гомосексуализм, заключающийся в интимном влечении к субъектам своего пола;</w:t>
      </w:r>
    </w:p>
    <w:p w:rsidR="00B552B4" w:rsidRPr="00B552B4" w:rsidRDefault="00B552B4" w:rsidP="00B55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proofErr w:type="gram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 </w:t>
      </w:r>
      <w:hyperlink r:id="rId7" w:tgtFrame="_blank" w:history="1">
        <w:r w:rsidRPr="00B552B4">
          <w:rPr>
            <w:rFonts w:ascii="Times New Roman" w:eastAsia="Times New Roman" w:hAnsi="Times New Roman" w:cs="Times New Roman"/>
            <w:color w:val="4687BF"/>
            <w:sz w:val="24"/>
            <w:szCs w:val="24"/>
            <w:u w:val="single"/>
            <w:lang w:eastAsia="ru-RU"/>
          </w:rPr>
          <w:t>подростковая депрессия</w:t>
        </w:r>
      </w:hyperlink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, выражаемая тоскливым, подавленным настроением, пессимизмом, ощущением собственной никчемности, заторможенностью движений, однообразием представлений, снижением побуждений, различными соматическими отклонениями;</w:t>
      </w:r>
      <w:proofErr w:type="gramEnd"/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– личностное самоопределение, которое включает социальное самоопределение, семейное, профессиональное, нравственное, религиозное и жизненное.</w:t>
      </w:r>
    </w:p>
    <w:p w:rsidR="00B552B4" w:rsidRPr="00B552B4" w:rsidRDefault="00B552B4" w:rsidP="00B552B4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52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Советы родителям в воспитании подростков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Пубертатный этап считается наиболее сложным периодом для самого подростка и для его родителей. Поэтому главным во взаимоотношениях с взрослеющим чадом должно быть взаимопонимание. Для этого родителям надобно быть инициативными и не обижаться на вчерашних детей. Не следует потыкать сиюминутным «хочу»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тинейджеров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, но и постоянно противиться им тоже не рекомендуется. Если родитель не желает либо по объективным причинам не может удовлетворить «хочу» подростка, то необходимо объяснить ему причины.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Нужно стараться больше коммуникативно взаимодействовать с детьми, рассказывать о собственной работе, обсуждать насущные ситуации, жизненные проблемы, интересоваться их увлечениями. На рассматриваемой стадии становления личности подросткам очень важно </w:t>
      </w: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lastRenderedPageBreak/>
        <w:t>ощущать родительскую любовь. Они должны понимать, что родители – это их друзья, которые всегда поддержат, а не выкажут пренебрежение или насмешку.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Стратегия родителей в описываемый период должна заключаться в формировании у подростков позиции уверенности. Ребёнок должен усвоить, что за собственные успехи и неудачи ответственен он.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Нельзя выстраивать воспитательный процесс на конфронтации, противостоянии. Нужно основываться на сотрудничестве, вооружиться терпением и участливостью.</w:t>
      </w:r>
    </w:p>
    <w:p w:rsidR="00B552B4" w:rsidRP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Родителям необходимо постигнуть главное, что наибольшее влияние на становление подростковой личности оказывает именно их жизнь, привычки, манера общения, взаимоотношения в семье. Если в семье превалируют ссоры, неуважение супругов друг к другу, упрёки, </w:t>
      </w:r>
      <w:proofErr w:type="gram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враньё</w:t>
      </w:r>
      <w:proofErr w:type="gram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, то пользы от нравоучений, как нужно жить правильно, будет нуль.</w:t>
      </w:r>
    </w:p>
    <w:p w:rsidR="00B552B4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Следует постараться не обманывать </w:t>
      </w:r>
      <w:proofErr w:type="spellStart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тинейджера</w:t>
      </w:r>
      <w:proofErr w:type="spellEnd"/>
      <w:r w:rsidRPr="00B552B4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, не пренебрегать его мнением, уважать его позицию, не навязывать собственное мировоззрение как единственно верное. Необходимо добиться доверия от ребёнка. Когда чадо полностью доверяет собственным родителям, верит им и знает, что в любых ситуациях его дома ждёт понимание и поддержка, тогда это минимизирует негативное воздействие среды и снижает риски попадания в так называемую «плохую» компанию.</w:t>
      </w:r>
    </w:p>
    <w:p w:rsidR="00461BB3" w:rsidRPr="001B1C36" w:rsidRDefault="00B552B4" w:rsidP="00B552B4">
      <w:pPr>
        <w:shd w:val="clear" w:color="auto" w:fill="FFFFFF"/>
        <w:spacing w:before="300" w:after="3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C36">
        <w:rPr>
          <w:rFonts w:ascii="Times New Roman" w:hAnsi="Times New Roman" w:cs="Times New Roman"/>
          <w:b/>
          <w:sz w:val="24"/>
          <w:szCs w:val="24"/>
        </w:rPr>
        <w:t xml:space="preserve">Ниже предлагаются некоторые подсказки, как нивелировать некоторые сложные моменты в общении с девятиклассниками: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461BB3" w:rsidTr="00461BB3">
        <w:tc>
          <w:tcPr>
            <w:tcW w:w="2605" w:type="dxa"/>
          </w:tcPr>
          <w:p w:rsidR="00461BB3" w:rsidRPr="001B1C36" w:rsidRDefault="00461BB3" w:rsidP="001B1C36">
            <w:pPr>
              <w:spacing w:before="300" w:after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особенности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проявления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Отрицательные проявления</w:t>
            </w:r>
          </w:p>
        </w:tc>
        <w:tc>
          <w:tcPr>
            <w:tcW w:w="2606" w:type="dxa"/>
          </w:tcPr>
          <w:p w:rsidR="00461BB3" w:rsidRPr="001B1C36" w:rsidRDefault="001B1C36" w:rsidP="001B1C36">
            <w:pPr>
              <w:spacing w:before="300" w:after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Воспитательное воздействие</w:t>
            </w:r>
          </w:p>
        </w:tc>
      </w:tr>
      <w:tr w:rsidR="00461BB3" w:rsidTr="00461BB3">
        <w:tc>
          <w:tcPr>
            <w:tcW w:w="2605" w:type="dxa"/>
          </w:tcPr>
          <w:p w:rsidR="00461BB3" w:rsidRPr="001B1C36" w:rsidRDefault="00461BB3" w:rsidP="001B1C36">
            <w:pPr>
              <w:spacing w:before="300"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взрослости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Стремление делать что-то полезное, социально значимое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Копируются чисто внешние проявления взрослости (курение, употребление алкоголя)</w:t>
            </w:r>
          </w:p>
        </w:tc>
        <w:tc>
          <w:tcPr>
            <w:tcW w:w="2606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Поощрять общественно одобряемое проявление взрослости.</w:t>
            </w:r>
          </w:p>
        </w:tc>
      </w:tr>
      <w:tr w:rsidR="00461BB3" w:rsidTr="00461BB3">
        <w:tc>
          <w:tcPr>
            <w:tcW w:w="2605" w:type="dxa"/>
          </w:tcPr>
          <w:p w:rsidR="00461BB3" w:rsidRPr="001B1C36" w:rsidRDefault="00461BB3" w:rsidP="001B1C36">
            <w:pPr>
              <w:spacing w:before="300"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Потребительское отношение к взрослым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 xml:space="preserve">Желание проверить равенство прав </w:t>
            </w:r>
            <w:proofErr w:type="gramStart"/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B1C3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Расширение своих прав и сужение своих обязанностей</w:t>
            </w:r>
          </w:p>
        </w:tc>
        <w:tc>
          <w:tcPr>
            <w:tcW w:w="2606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 xml:space="preserve">Не снижать требований, объяснять их разумность. Помогать ребенку выполнять эти требования </w:t>
            </w:r>
            <w:proofErr w:type="gramStart"/>
            <w:r w:rsidRPr="001B1C3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ребенок должен чувствовать безопасность)</w:t>
            </w:r>
          </w:p>
        </w:tc>
      </w:tr>
      <w:tr w:rsidR="00461BB3" w:rsidTr="00461BB3">
        <w:tc>
          <w:tcPr>
            <w:tcW w:w="2605" w:type="dxa"/>
          </w:tcPr>
          <w:p w:rsidR="00461BB3" w:rsidRPr="001B1C36" w:rsidRDefault="00461BB3" w:rsidP="001B1C36">
            <w:pPr>
              <w:spacing w:before="300"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опыт общения</w:t>
            </w:r>
          </w:p>
        </w:tc>
        <w:tc>
          <w:tcPr>
            <w:tcW w:w="2605" w:type="dxa"/>
          </w:tcPr>
          <w:p w:rsidR="00461BB3" w:rsidRPr="001B1C36" w:rsidRDefault="00461BB3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 xml:space="preserve">Агрессия, замкнутость, вызванные неспособностью объяснить свое поведение, а так же незнанием конструктивных способов решения </w:t>
            </w:r>
            <w:r w:rsidRPr="001B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 ситуаций</w:t>
            </w:r>
          </w:p>
        </w:tc>
        <w:tc>
          <w:tcPr>
            <w:tcW w:w="2606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анализ поступков ребенка.</w:t>
            </w:r>
          </w:p>
        </w:tc>
      </w:tr>
      <w:tr w:rsidR="00461BB3" w:rsidTr="00461BB3">
        <w:tc>
          <w:tcPr>
            <w:tcW w:w="2605" w:type="dxa"/>
          </w:tcPr>
          <w:p w:rsidR="00461BB3" w:rsidRPr="001B1C36" w:rsidRDefault="00461BB3" w:rsidP="001B1C36">
            <w:pPr>
              <w:spacing w:before="300"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Реакция группирования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Подростковая группа своеобразный социальный «полигон», где отрабатываются и усваиваются мужские и женские роли, формируется социально ответственное поведение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полностью растворяется в группе, без нее как бы не существует. Влияние группы тем больше, чем </w:t>
            </w:r>
            <w:proofErr w:type="spellStart"/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неблагополучнее</w:t>
            </w:r>
            <w:proofErr w:type="spellEnd"/>
            <w:r w:rsidRPr="001B1C36">
              <w:rPr>
                <w:rFonts w:ascii="Times New Roman" w:hAnsi="Times New Roman" w:cs="Times New Roman"/>
                <w:sz w:val="24"/>
                <w:szCs w:val="24"/>
              </w:rPr>
              <w:t xml:space="preserve"> его отношения с родителями</w:t>
            </w:r>
          </w:p>
        </w:tc>
        <w:tc>
          <w:tcPr>
            <w:tcW w:w="2606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Налаживание взаимоотношений в семье. Расширить мир увлечений подростка</w:t>
            </w:r>
          </w:p>
        </w:tc>
      </w:tr>
      <w:tr w:rsidR="00461BB3" w:rsidTr="00461BB3">
        <w:tc>
          <w:tcPr>
            <w:tcW w:w="2605" w:type="dxa"/>
          </w:tcPr>
          <w:p w:rsidR="00461BB3" w:rsidRPr="001B1C36" w:rsidRDefault="00461BB3" w:rsidP="001B1C36">
            <w:pPr>
              <w:spacing w:before="300"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Подростки с адекватной самооценкой имеют большое поле интересов, активность их направлена на различные виды деятельности, а так же на познание себя и других в процессе общения</w:t>
            </w:r>
          </w:p>
        </w:tc>
        <w:tc>
          <w:tcPr>
            <w:tcW w:w="2605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Низкая или неоправданно высокая самооценка.</w:t>
            </w:r>
          </w:p>
        </w:tc>
        <w:tc>
          <w:tcPr>
            <w:tcW w:w="2606" w:type="dxa"/>
          </w:tcPr>
          <w:p w:rsidR="00461BB3" w:rsidRPr="001B1C36" w:rsidRDefault="001B1C36" w:rsidP="001B1C36">
            <w:pPr>
              <w:spacing w:before="300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>Оценочные суждения со стороны взрослых должны быть направлены не на личность в целом, а на конкретный поступок. Обстоятельный разбор причин побед и неудач.</w:t>
            </w:r>
          </w:p>
        </w:tc>
      </w:tr>
    </w:tbl>
    <w:p w:rsidR="00461BB3" w:rsidRDefault="00461BB3" w:rsidP="00B552B4">
      <w:pPr>
        <w:shd w:val="clear" w:color="auto" w:fill="FFFFFF"/>
        <w:spacing w:before="300" w:after="300" w:line="240" w:lineRule="auto"/>
        <w:jc w:val="both"/>
      </w:pPr>
    </w:p>
    <w:p w:rsidR="00B552B4" w:rsidRPr="00851574" w:rsidRDefault="00851574" w:rsidP="00851574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color w:val="161617"/>
          <w:sz w:val="32"/>
          <w:szCs w:val="32"/>
          <w:lang w:eastAsia="ru-RU"/>
        </w:rPr>
      </w:pPr>
      <w:r w:rsidRPr="00851574">
        <w:rPr>
          <w:rFonts w:ascii="Times New Roman" w:eastAsia="Times New Roman" w:hAnsi="Times New Roman" w:cs="Times New Roman"/>
          <w:b/>
          <w:color w:val="161617"/>
          <w:sz w:val="32"/>
          <w:szCs w:val="32"/>
          <w:lang w:eastAsia="ru-RU"/>
        </w:rPr>
        <w:t>Здоровья Вам и Вашей семье!</w:t>
      </w:r>
      <w:bookmarkStart w:id="0" w:name="_GoBack"/>
      <w:bookmarkEnd w:id="0"/>
    </w:p>
    <w:p w:rsidR="005D4D92" w:rsidRDefault="005D4D92"/>
    <w:sectPr w:rsidR="005D4D92" w:rsidSect="00B552B4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9B"/>
    <w:rsid w:val="001B1C36"/>
    <w:rsid w:val="00461BB3"/>
    <w:rsid w:val="005D4D92"/>
    <w:rsid w:val="00851574"/>
    <w:rsid w:val="00987166"/>
    <w:rsid w:val="00A24C9B"/>
    <w:rsid w:val="00B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2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2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homed.com/podrostkovaya-depress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homed.com/samootsenka-podrostka/" TargetMode="External"/><Relationship Id="rId5" Type="http://schemas.openxmlformats.org/officeDocument/2006/relationships/hyperlink" Target="https://psihomed.com/patter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9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2020-04-07T13:32:00Z</dcterms:created>
  <dcterms:modified xsi:type="dcterms:W3CDTF">2020-04-23T05:19:00Z</dcterms:modified>
</cp:coreProperties>
</file>